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2D8" w:rsidRDefault="00AA32D8" w:rsidP="00AA32D8">
      <w:pPr>
        <w:jc w:val="both"/>
        <w:rPr>
          <w:rFonts w:ascii="Garamond" w:hAnsi="Garamond"/>
        </w:rPr>
      </w:pPr>
      <w:r>
        <w:rPr>
          <w:rFonts w:ascii="Garamond" w:hAnsi="Garamond"/>
        </w:rPr>
        <w:t>MALLORCA TALAYOTICA, PATRIMONIO MUNDIAL</w:t>
      </w:r>
    </w:p>
    <w:p w:rsidR="00AA32D8" w:rsidRDefault="00AA32D8" w:rsidP="00AA32D8">
      <w:pPr>
        <w:jc w:val="both"/>
        <w:rPr>
          <w:rFonts w:ascii="Garamond" w:hAnsi="Garamond"/>
        </w:rPr>
      </w:pPr>
      <w:r>
        <w:rPr>
          <w:rFonts w:ascii="Garamond" w:hAnsi="Garamond"/>
        </w:rPr>
        <w:t xml:space="preserve">Desde el </w:t>
      </w:r>
      <w:proofErr w:type="spellStart"/>
      <w:r>
        <w:rPr>
          <w:rFonts w:ascii="Garamond" w:hAnsi="Garamond"/>
        </w:rPr>
        <w:t>Consell</w:t>
      </w:r>
      <w:proofErr w:type="spellEnd"/>
      <w:r>
        <w:rPr>
          <w:rFonts w:ascii="Garamond" w:hAnsi="Garamond"/>
        </w:rPr>
        <w:t xml:space="preserve"> de Mallorca han presentado como candidato a patrimonio mundial inmaterial este proyecto de las torres, </w:t>
      </w:r>
      <w:proofErr w:type="spellStart"/>
      <w:r>
        <w:rPr>
          <w:rFonts w:ascii="Garamond" w:hAnsi="Garamond"/>
        </w:rPr>
        <w:t>talàies</w:t>
      </w:r>
      <w:proofErr w:type="spellEnd"/>
      <w:r>
        <w:rPr>
          <w:rFonts w:ascii="Garamond" w:hAnsi="Garamond"/>
        </w:rPr>
        <w:t xml:space="preserve"> y </w:t>
      </w:r>
      <w:proofErr w:type="spellStart"/>
      <w:r>
        <w:rPr>
          <w:rFonts w:ascii="Garamond" w:hAnsi="Garamond"/>
        </w:rPr>
        <w:t>talaiots</w:t>
      </w:r>
      <w:proofErr w:type="spellEnd"/>
      <w:r>
        <w:rPr>
          <w:rFonts w:ascii="Garamond" w:hAnsi="Garamond"/>
        </w:rPr>
        <w:t xml:space="preserve"> de Mallorca, unas antiguas infraestructuras de vigilancia, desde donde se puede actualmente disfrutar de un paisaje impresionante “Mallorca </w:t>
      </w:r>
      <w:proofErr w:type="spellStart"/>
      <w:r>
        <w:rPr>
          <w:rFonts w:ascii="Garamond" w:hAnsi="Garamond"/>
        </w:rPr>
        <w:t>Talayótica</w:t>
      </w:r>
      <w:proofErr w:type="spellEnd"/>
      <w:r>
        <w:rPr>
          <w:rFonts w:ascii="Garamond" w:hAnsi="Garamond"/>
        </w:rPr>
        <w:t>”</w:t>
      </w:r>
    </w:p>
    <w:p w:rsidR="00AA32D8" w:rsidRDefault="00AA32D8" w:rsidP="00AA32D8">
      <w:pPr>
        <w:jc w:val="both"/>
        <w:rPr>
          <w:rFonts w:ascii="Garamond" w:hAnsi="Garamond"/>
        </w:rPr>
      </w:pPr>
    </w:p>
    <w:p w:rsidR="00AA32D8" w:rsidRDefault="00AA32D8" w:rsidP="00AA32D8">
      <w:pPr>
        <w:jc w:val="both"/>
        <w:rPr>
          <w:rFonts w:ascii="Garamond" w:hAnsi="Garamond"/>
        </w:rPr>
      </w:pPr>
      <w:r>
        <w:rPr>
          <w:rFonts w:ascii="Garamond" w:hAnsi="Garamond"/>
          <w:noProof/>
          <w:lang w:eastAsia="es-ES"/>
        </w:rPr>
        <w:drawing>
          <wp:inline distT="0" distB="0" distL="0" distR="0" wp14:anchorId="28652A9F" wp14:editId="4C20D8D2">
            <wp:extent cx="3427013" cy="7425476"/>
            <wp:effectExtent l="0" t="0" r="2540" b="4445"/>
            <wp:docPr id="2" name="Imagen 2" descr="C:\Users\Celia\Downloads\Talàies y talaiots Mallo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a\Downloads\Talàies y talaiots Mallorc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8157" cy="7427954"/>
                    </a:xfrm>
                    <a:prstGeom prst="rect">
                      <a:avLst/>
                    </a:prstGeom>
                    <a:noFill/>
                    <a:ln>
                      <a:noFill/>
                    </a:ln>
                  </pic:spPr>
                </pic:pic>
              </a:graphicData>
            </a:graphic>
          </wp:inline>
        </w:drawing>
      </w:r>
    </w:p>
    <w:p w:rsidR="00AA32D8" w:rsidRPr="00616BF7" w:rsidRDefault="00AA32D8" w:rsidP="00AA32D8">
      <w:pPr>
        <w:jc w:val="both"/>
        <w:rPr>
          <w:rFonts w:ascii="Garamond" w:hAnsi="Garamond"/>
        </w:rPr>
      </w:pPr>
      <w:r>
        <w:rPr>
          <w:rFonts w:ascii="Garamond" w:hAnsi="Garamond"/>
          <w:noProof/>
          <w:lang w:eastAsia="es-ES"/>
        </w:rPr>
        <w:lastRenderedPageBreak/>
        <w:drawing>
          <wp:inline distT="0" distB="0" distL="0" distR="0" wp14:anchorId="232ADFEF" wp14:editId="3EDDA007">
            <wp:extent cx="3784821" cy="8200756"/>
            <wp:effectExtent l="0" t="0" r="6350" b="0"/>
            <wp:docPr id="4" name="Imagen 4" descr="C:\Users\Celia\Downloads\Talàies y talaiots en Mallo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ia\Downloads\Talàies y talaiots en Mallorc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8639" cy="8209028"/>
                    </a:xfrm>
                    <a:prstGeom prst="rect">
                      <a:avLst/>
                    </a:prstGeom>
                    <a:noFill/>
                    <a:ln>
                      <a:noFill/>
                    </a:ln>
                  </pic:spPr>
                </pic:pic>
              </a:graphicData>
            </a:graphic>
          </wp:inline>
        </w:drawing>
      </w:r>
    </w:p>
    <w:p w:rsidR="00AA32D8" w:rsidRDefault="00AA32D8" w:rsidP="00AA32D8"/>
    <w:p w:rsidR="00AA32D8" w:rsidRDefault="00AA32D8" w:rsidP="00AA32D8"/>
    <w:p w:rsidR="00AA32D8" w:rsidRDefault="00AA32D8" w:rsidP="00AA32D8">
      <w:r>
        <w:rPr>
          <w:noProof/>
          <w:lang w:eastAsia="es-ES"/>
        </w:rPr>
        <w:lastRenderedPageBreak/>
        <w:drawing>
          <wp:inline distT="0" distB="0" distL="0" distR="0" wp14:anchorId="5750FBF7" wp14:editId="58DF2140">
            <wp:extent cx="4452731" cy="9579036"/>
            <wp:effectExtent l="0" t="0" r="5080" b="3175"/>
            <wp:docPr id="6" name="Imagen 6" descr="C:\Users\Celia\Downloads\Copia de Talàiesy talai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ia\Downloads\Copia de Talàiesy talaiot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0968" cy="9596757"/>
                    </a:xfrm>
                    <a:prstGeom prst="rect">
                      <a:avLst/>
                    </a:prstGeom>
                    <a:noFill/>
                    <a:ln>
                      <a:noFill/>
                    </a:ln>
                  </pic:spPr>
                </pic:pic>
              </a:graphicData>
            </a:graphic>
          </wp:inline>
        </w:drawing>
      </w:r>
    </w:p>
    <w:p w:rsidR="00AA32D8" w:rsidRDefault="00AA32D8" w:rsidP="00AA32D8">
      <w:r>
        <w:lastRenderedPageBreak/>
        <w:t xml:space="preserve">En el punto 5.5E5 de las estrategias de la EOTA, se hace referencia a desarrollar una red de miradores </w:t>
      </w:r>
      <w:proofErr w:type="spellStart"/>
      <w:r>
        <w:t>para”contemplar”Aragón</w:t>
      </w:r>
      <w:proofErr w:type="spellEnd"/>
      <w:r>
        <w:t xml:space="preserve">. Desde las torres y puestos fijos de vigilancia de incendios forestales  (PFV) del Gobierno de Aragón se disfruta de un paisaje totalmente desconocido para la mayoría de la población. El radio de paisaje que se puede “contemplar” alcanza 700km2, principalmente de superficie de coníferas, bosque mediterráneo, de un modo idéntico al que se hace en países del norte de Europa con el modelo </w:t>
      </w:r>
      <w:r w:rsidRPr="00124C4F">
        <w:rPr>
          <w:highlight w:val="yellow"/>
        </w:rPr>
        <w:t xml:space="preserve">de </w:t>
      </w:r>
      <w:proofErr w:type="spellStart"/>
      <w:r w:rsidRPr="00124C4F">
        <w:rPr>
          <w:highlight w:val="yellow"/>
        </w:rPr>
        <w:t>Baumwipfelpad</w:t>
      </w:r>
      <w:proofErr w:type="spellEnd"/>
      <w:r w:rsidRPr="00124C4F">
        <w:rPr>
          <w:highlight w:val="yellow"/>
        </w:rPr>
        <w:t xml:space="preserve">, </w:t>
      </w:r>
      <w:proofErr w:type="spellStart"/>
      <w:r w:rsidRPr="00124C4F">
        <w:rPr>
          <w:highlight w:val="yellow"/>
        </w:rPr>
        <w:t>Tree</w:t>
      </w:r>
      <w:proofErr w:type="spellEnd"/>
      <w:r>
        <w:t xml:space="preserve"> </w:t>
      </w:r>
      <w:r w:rsidRPr="00124C4F">
        <w:rPr>
          <w:highlight w:val="yellow"/>
        </w:rPr>
        <w:t xml:space="preserve">top </w:t>
      </w:r>
      <w:proofErr w:type="spellStart"/>
      <w:r w:rsidRPr="00124C4F">
        <w:rPr>
          <w:highlight w:val="yellow"/>
        </w:rPr>
        <w:t>walk</w:t>
      </w:r>
      <w:proofErr w:type="spellEnd"/>
      <w:r w:rsidRPr="00124C4F">
        <w:rPr>
          <w:highlight w:val="yellow"/>
        </w:rPr>
        <w:t>, o Paseo por encima de los árboles</w:t>
      </w:r>
      <w:r>
        <w:t xml:space="preserve"> (Dinamarca, Alemania, Holanda, Suiza, Austria). Por su ubicación en el punto más céntrico y más alto del bosque permite ver al mismo tiempo una horquilla mínima de entre 8 y 15 pueblos del territorio Aragonés, reflejando por su distribución sobre el territorio una gran diversidad de paisajes con identidad propia aragonesa (bosque, cultivo tradicional cereal, almendro y olivo, desmonte minero, estepa, y pantano) todo desde un único punto de observación. Impresionantes miradores, que de un modo similar al de Mallorca vertebran todo el territorio.</w:t>
      </w:r>
    </w:p>
    <w:p w:rsidR="00AA32D8" w:rsidRDefault="00AA32D8" w:rsidP="00AA32D8"/>
    <w:p w:rsidR="00AA32D8" w:rsidRDefault="00AA32D8" w:rsidP="00AA32D8">
      <w:r>
        <w:t xml:space="preserve">De un modo similar al de “Mallorca </w:t>
      </w:r>
      <w:proofErr w:type="spellStart"/>
      <w:r>
        <w:t>Talayótica</w:t>
      </w:r>
      <w:proofErr w:type="spellEnd"/>
      <w:r>
        <w:t>” se propone que el Bosque Mediterráneo, el paisaje de coníferas mayoritario por superficie en Aragón pueda ser candidato a Patrimonio Mundial, debido a sus características únicas en biodiversidad y sus peculiaridades en materia de incendios forestales (principalmente producidos por rayo), elemento imprescindible para la sostenibilidad y la protección del medioambiente y como sumidero excepcional de CO2. Si en el caso de Mallorca son aproximadamente unas 53 ubicaciones, en Aragón hay un total de 80 torres y puestos fijos de vigilancia de incendios forestales (PFV). Del mismo modo que existen los “paisajes del agua “un bien básico e insustituible, el propósito del proyecto de los PFV es ofrecer el “paisaje del oxígeno “masivamente producido por el bosque mediterráneo, aunque no se pueda ver, ni cuantificar de momento.</w:t>
      </w:r>
    </w:p>
    <w:p w:rsidR="00AA32D8" w:rsidRDefault="00AA32D8" w:rsidP="00AA32D8">
      <w:r>
        <w:t xml:space="preserve">Según el Análisis 4.1.10.2 de la EOTA el 58% de la superficie de Aragón está constituida por zonas elevadas o de montaña, y en el caso de Teruel un 72% (de más de 100m de altitud). En cuanto a superficie forestal puramente dicha, aproximadamente el 55% de Aragón y el 62.8% de la provincia de Teruel (según datos del Inventario Forestal Nacional). Esto convierte al </w:t>
      </w:r>
      <w:r w:rsidRPr="00C16B75">
        <w:rPr>
          <w:highlight w:val="yellow"/>
        </w:rPr>
        <w:t>bosque mediterráneo en el primer recurso endógeno</w:t>
      </w:r>
      <w:r>
        <w:t xml:space="preserve"> de la comunidad Autónoma de Aragón. Si esta superficie la visualizásemos o imaginásemos como “superficie de playa” rápidamente seríamos conscientes del potencial turístico que ofrece,  de un modo similar al que hacen los países citados con el modelo de paisaje desde encima de los árboles, </w:t>
      </w:r>
      <w:proofErr w:type="spellStart"/>
      <w:r>
        <w:t>tree</w:t>
      </w:r>
      <w:proofErr w:type="spellEnd"/>
      <w:r>
        <w:t xml:space="preserve"> top </w:t>
      </w:r>
      <w:proofErr w:type="spellStart"/>
      <w:r>
        <w:t>walk</w:t>
      </w:r>
      <w:proofErr w:type="spellEnd"/>
      <w:r>
        <w:t xml:space="preserve"> o </w:t>
      </w:r>
      <w:proofErr w:type="spellStart"/>
      <w:r>
        <w:t>baoumwipfelpade</w:t>
      </w:r>
      <w:proofErr w:type="spellEnd"/>
      <w:r>
        <w:t>.</w:t>
      </w:r>
    </w:p>
    <w:p w:rsidR="00AA32D8" w:rsidRDefault="00AA32D8" w:rsidP="00AA32D8">
      <w:r>
        <w:t>Les agradeceríamos que tuviesen en cuenta para la directriz, este modelo de aprovechamiento turístico de los PFV, del Gobierno de Aragón ya que en muchas ocasiones se solapa con los mapas del paisaje ya elaborados, y existe financiación expresa para su posible adaptación para el turismo, vía “</w:t>
      </w:r>
      <w:proofErr w:type="spellStart"/>
      <w:r>
        <w:t>fireaway</w:t>
      </w:r>
      <w:proofErr w:type="spellEnd"/>
      <w:r>
        <w:t xml:space="preserve"> </w:t>
      </w:r>
      <w:proofErr w:type="spellStart"/>
      <w:r>
        <w:t>projects</w:t>
      </w:r>
      <w:proofErr w:type="spellEnd"/>
      <w:r>
        <w:t xml:space="preserve">” de la UE, como ya es conocedor el Director General de Ordenación del Territorio, por la conversación mantenida a través de Apadrina un Olivo.org, que ha preseleccionado este proyecto, para los Despertadores Rurales Inteligentes de </w:t>
      </w:r>
      <w:proofErr w:type="spellStart"/>
      <w:r>
        <w:t>Oliete</w:t>
      </w:r>
      <w:proofErr w:type="spellEnd"/>
      <w:r>
        <w:t>, en Teruel.</w:t>
      </w:r>
    </w:p>
    <w:p w:rsidR="00AA32D8" w:rsidRDefault="00AA32D8" w:rsidP="00AA32D8"/>
    <w:p w:rsidR="00AA32D8" w:rsidRDefault="00AA32D8" w:rsidP="00AA32D8">
      <w:r>
        <w:lastRenderedPageBreak/>
        <w:t>A continuación se incluyen algunas fotografías, mapas de torres de Aragón e información general de lo que se hace en otros países de Europa:</w:t>
      </w:r>
    </w:p>
    <w:p w:rsidR="00AA32D8" w:rsidRDefault="00AA32D8" w:rsidP="00AA32D8">
      <w:r>
        <w:rPr>
          <w:noProof/>
          <w:lang w:eastAsia="es-ES"/>
        </w:rPr>
        <w:drawing>
          <wp:inline distT="0" distB="0" distL="0" distR="0" wp14:anchorId="030B6B05" wp14:editId="68155F54">
            <wp:extent cx="5400040" cy="7752356"/>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752356"/>
                    </a:xfrm>
                    <a:prstGeom prst="rect">
                      <a:avLst/>
                    </a:prstGeom>
                    <a:noFill/>
                    <a:ln>
                      <a:noFill/>
                    </a:ln>
                  </pic:spPr>
                </pic:pic>
              </a:graphicData>
            </a:graphic>
          </wp:inline>
        </w:drawing>
      </w:r>
    </w:p>
    <w:p w:rsidR="00AA32D8" w:rsidRDefault="00AA32D8" w:rsidP="00AA32D8"/>
    <w:p w:rsidR="00AA32D8" w:rsidRDefault="00AA32D8" w:rsidP="00AA32D8">
      <w:r>
        <w:rPr>
          <w:noProof/>
          <w:lang w:eastAsia="es-ES"/>
        </w:rPr>
        <w:lastRenderedPageBreak/>
        <w:drawing>
          <wp:inline distT="0" distB="0" distL="0" distR="0" wp14:anchorId="16F7026C" wp14:editId="1D2498BE">
            <wp:extent cx="5400040" cy="4050030"/>
            <wp:effectExtent l="0" t="0" r="0" b="762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0-WA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A32D8" w:rsidRDefault="00AA32D8" w:rsidP="00AA32D8">
      <w:r>
        <w:rPr>
          <w:noProof/>
          <w:lang w:eastAsia="es-ES"/>
        </w:rPr>
        <w:drawing>
          <wp:inline distT="0" distB="0" distL="0" distR="0" wp14:anchorId="20046AA5" wp14:editId="647C0991">
            <wp:extent cx="5400040" cy="4050030"/>
            <wp:effectExtent l="0" t="0" r="0" b="762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0-WA00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A32D8" w:rsidRDefault="00AA32D8" w:rsidP="00AA32D8"/>
    <w:p w:rsidR="00AA32D8" w:rsidRDefault="00AA32D8" w:rsidP="00AA32D8">
      <w:r>
        <w:rPr>
          <w:noProof/>
          <w:lang w:eastAsia="es-ES"/>
        </w:rPr>
        <w:lastRenderedPageBreak/>
        <w:drawing>
          <wp:inline distT="0" distB="0" distL="0" distR="0" wp14:anchorId="0587E069" wp14:editId="48B8E2BA">
            <wp:extent cx="5400040" cy="4050030"/>
            <wp:effectExtent l="0" t="0" r="0" b="762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0-WA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A32D8" w:rsidRDefault="00AA32D8" w:rsidP="00AA32D8">
      <w:r>
        <w:rPr>
          <w:noProof/>
          <w:lang w:eastAsia="es-ES"/>
        </w:rPr>
        <w:drawing>
          <wp:inline distT="0" distB="0" distL="0" distR="0" wp14:anchorId="77DED774" wp14:editId="3AFC6DD5">
            <wp:extent cx="5400040" cy="4050030"/>
            <wp:effectExtent l="0" t="0" r="0" b="762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0-WA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A32D8" w:rsidRDefault="00AA32D8" w:rsidP="00AA32D8">
      <w:r>
        <w:rPr>
          <w:noProof/>
          <w:lang w:eastAsia="es-ES"/>
        </w:rPr>
        <w:lastRenderedPageBreak/>
        <w:drawing>
          <wp:inline distT="0" distB="0" distL="0" distR="0" wp14:anchorId="010E656A" wp14:editId="20554F9A">
            <wp:extent cx="5400040" cy="4050030"/>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0-WA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A32D8" w:rsidRDefault="00AA32D8" w:rsidP="00AA32D8">
      <w:r>
        <w:rPr>
          <w:noProof/>
          <w:lang w:eastAsia="es-ES"/>
        </w:rPr>
        <w:drawing>
          <wp:inline distT="0" distB="0" distL="0" distR="0" wp14:anchorId="03DB945A" wp14:editId="19D6F1AA">
            <wp:extent cx="5400040" cy="4050030"/>
            <wp:effectExtent l="0" t="0" r="0" b="76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10-WA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B16288" w:rsidRDefault="00B16288">
      <w:bookmarkStart w:id="0" w:name="_GoBack"/>
      <w:bookmarkEnd w:id="0"/>
    </w:p>
    <w:sectPr w:rsidR="00B1628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DAF"/>
    <w:rsid w:val="00AA32D8"/>
    <w:rsid w:val="00B16288"/>
    <w:rsid w:val="00FE4D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32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32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32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32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586</Words>
  <Characters>3223</Characters>
  <Application>Microsoft Office Word</Application>
  <DocSecurity>0</DocSecurity>
  <Lines>26</Lines>
  <Paragraphs>7</Paragraphs>
  <ScaleCrop>false</ScaleCrop>
  <Company/>
  <LinksUpToDate>false</LinksUpToDate>
  <CharactersWithSpaces>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Celia</cp:lastModifiedBy>
  <cp:revision>2</cp:revision>
  <dcterms:created xsi:type="dcterms:W3CDTF">2021-12-09T19:23:00Z</dcterms:created>
  <dcterms:modified xsi:type="dcterms:W3CDTF">2021-12-09T19:27:00Z</dcterms:modified>
</cp:coreProperties>
</file>